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EA19D7" w:rsidRPr="00A4788C" w:rsidTr="00243EB8">
        <w:trPr>
          <w:trHeight w:val="291"/>
        </w:trPr>
        <w:tc>
          <w:tcPr>
            <w:tcW w:w="1200" w:type="dxa"/>
            <w:tcBorders>
              <w:top w:val="single" w:sz="4" w:space="0" w:color="auto"/>
              <w:left w:val="single" w:sz="4" w:space="0" w:color="auto"/>
              <w:right w:val="single" w:sz="4" w:space="0" w:color="auto"/>
            </w:tcBorders>
          </w:tcPr>
          <w:p w:rsidR="00EA19D7" w:rsidRPr="00A4788C" w:rsidRDefault="00EA19D7"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EA19D7" w:rsidRPr="00884A40" w:rsidRDefault="00EA19D7" w:rsidP="006B1B37">
            <w:pPr>
              <w:pStyle w:val="afe"/>
              <w:tabs>
                <w:tab w:val="clear" w:pos="1980"/>
              </w:tabs>
              <w:ind w:left="0" w:hanging="3"/>
              <w:rPr>
                <w:szCs w:val="24"/>
              </w:rPr>
            </w:pPr>
            <w:r w:rsidRPr="00884A40">
              <w:rPr>
                <w:szCs w:val="24"/>
              </w:rPr>
              <w:t>Сумма вознаграждения за услуги, оказанные в г</w:t>
            </w:r>
            <w:r w:rsidRPr="00884A40">
              <w:rPr>
                <w:szCs w:val="24"/>
              </w:rPr>
              <w:t>о</w:t>
            </w:r>
            <w:r w:rsidRPr="00884A40">
              <w:rPr>
                <w:szCs w:val="24"/>
              </w:rPr>
              <w:t>родской местности;</w:t>
            </w:r>
          </w:p>
        </w:tc>
        <w:tc>
          <w:tcPr>
            <w:tcW w:w="2478" w:type="dxa"/>
            <w:tcBorders>
              <w:top w:val="single" w:sz="4" w:space="0" w:color="auto"/>
              <w:left w:val="single" w:sz="4" w:space="0" w:color="auto"/>
              <w:right w:val="single" w:sz="4" w:space="0" w:color="auto"/>
            </w:tcBorders>
          </w:tcPr>
          <w:p w:rsidR="00EA19D7" w:rsidRPr="00FF56C2" w:rsidRDefault="00EA19D7" w:rsidP="005F1E24">
            <w:pPr>
              <w:pStyle w:val="afe"/>
              <w:ind w:left="34" w:firstLine="0"/>
              <w:jc w:val="center"/>
              <w:rPr>
                <w:color w:val="000000" w:themeColor="text1"/>
                <w:szCs w:val="24"/>
              </w:rPr>
            </w:pPr>
            <w:r>
              <w:rPr>
                <w:color w:val="000000" w:themeColor="text1"/>
                <w:szCs w:val="24"/>
              </w:rPr>
              <w:t>50</w:t>
            </w:r>
            <w:r w:rsidRPr="00FF56C2">
              <w:rPr>
                <w:color w:val="000000" w:themeColor="text1"/>
                <w:szCs w:val="24"/>
              </w:rPr>
              <w:t>%</w:t>
            </w:r>
          </w:p>
        </w:tc>
      </w:tr>
      <w:tr w:rsidR="00EA19D7" w:rsidRPr="00A4788C" w:rsidTr="00243EB8">
        <w:trPr>
          <w:trHeight w:val="291"/>
        </w:trPr>
        <w:tc>
          <w:tcPr>
            <w:tcW w:w="1200" w:type="dxa"/>
            <w:tcBorders>
              <w:top w:val="single" w:sz="4" w:space="0" w:color="auto"/>
              <w:left w:val="single" w:sz="4" w:space="0" w:color="auto"/>
              <w:right w:val="single" w:sz="4" w:space="0" w:color="auto"/>
            </w:tcBorders>
          </w:tcPr>
          <w:p w:rsidR="00EA19D7" w:rsidRPr="00A4788C" w:rsidRDefault="00EA19D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EA19D7" w:rsidRPr="00884A40" w:rsidRDefault="00EA19D7" w:rsidP="006B1B37">
            <w:pPr>
              <w:pStyle w:val="afe"/>
              <w:tabs>
                <w:tab w:val="clear" w:pos="1980"/>
              </w:tabs>
              <w:ind w:left="0" w:hanging="3"/>
              <w:rPr>
                <w:b/>
                <w:szCs w:val="24"/>
              </w:rPr>
            </w:pPr>
            <w:r w:rsidRPr="00884A40">
              <w:rPr>
                <w:szCs w:val="24"/>
              </w:rPr>
              <w:t>Сумма вознаграждения за услуги, оказанные в сел</w:t>
            </w:r>
            <w:r w:rsidRPr="00884A40">
              <w:rPr>
                <w:szCs w:val="24"/>
              </w:rPr>
              <w:t>ь</w:t>
            </w:r>
            <w:r w:rsidRPr="00884A40">
              <w:rPr>
                <w:szCs w:val="24"/>
              </w:rPr>
              <w:t>ской местности.</w:t>
            </w:r>
          </w:p>
        </w:tc>
        <w:tc>
          <w:tcPr>
            <w:tcW w:w="2478" w:type="dxa"/>
            <w:tcBorders>
              <w:top w:val="single" w:sz="4" w:space="0" w:color="auto"/>
              <w:left w:val="single" w:sz="4" w:space="0" w:color="auto"/>
              <w:right w:val="single" w:sz="4" w:space="0" w:color="auto"/>
            </w:tcBorders>
          </w:tcPr>
          <w:p w:rsidR="00EA19D7" w:rsidRDefault="00EA19D7" w:rsidP="005F1E24">
            <w:pPr>
              <w:pStyle w:val="afe"/>
              <w:ind w:left="34" w:firstLine="0"/>
              <w:jc w:val="center"/>
              <w:rPr>
                <w:color w:val="000000" w:themeColor="text1"/>
                <w:szCs w:val="24"/>
              </w:rPr>
            </w:pPr>
            <w:r>
              <w:rPr>
                <w:color w:val="000000" w:themeColor="text1"/>
                <w:szCs w:val="24"/>
              </w:rPr>
              <w:t>50%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5E0163" w:rsidRPr="00A4788C">
        <w:t xml:space="preserve">Цена </w:t>
      </w:r>
      <w:r w:rsidR="005E0163">
        <w:t>договора</w:t>
      </w:r>
      <w:r w:rsidR="005E0163" w:rsidRPr="00A4788C">
        <w:t xml:space="preserve"> </w:t>
      </w:r>
      <w:r w:rsidR="005E0163">
        <w:t xml:space="preserve"> (</w:t>
      </w:r>
      <w:r w:rsidR="005E0163" w:rsidRPr="00AF39F5">
        <w:t>сумма вознаграждения за услуги</w:t>
      </w:r>
      <w:r w:rsidR="005E0163">
        <w:t>)»</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AF39F5">
              <w:t xml:space="preserve"> (</w:t>
            </w:r>
            <w:r w:rsidR="00AF39F5" w:rsidRPr="00AF39F5">
              <w:t>сумма возн</w:t>
            </w:r>
            <w:r w:rsidR="00AF39F5" w:rsidRPr="00AF39F5">
              <w:t>а</w:t>
            </w:r>
            <w:r w:rsidR="00AF39F5" w:rsidRPr="00AF39F5">
              <w:t>граждения за у</w:t>
            </w:r>
            <w:r w:rsidR="00AF39F5" w:rsidRPr="00AF39F5">
              <w:t>с</w:t>
            </w:r>
            <w:r w:rsidR="00AF39F5" w:rsidRPr="00AF39F5">
              <w:t>луги</w:t>
            </w:r>
            <w:r w:rsidR="00AF39F5">
              <w:t>)</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AF39F5">
            <w:r w:rsidRPr="00A4788C">
              <w:t>Оценивается сниже</w:t>
            </w:r>
            <w:r w:rsidRPr="00243EB8">
              <w:t xml:space="preserve">ние </w:t>
            </w:r>
            <w:r w:rsidR="00243EB8" w:rsidRPr="00243EB8">
              <w:t xml:space="preserve">цены </w:t>
            </w:r>
            <w:r w:rsidR="00AF39F5">
              <w:t>(с</w:t>
            </w:r>
            <w:r w:rsidR="00AF39F5" w:rsidRPr="00AF39F5">
              <w:t>умма вознагр</w:t>
            </w:r>
            <w:r w:rsidR="00AF39F5" w:rsidRPr="00AF39F5">
              <w:t>а</w:t>
            </w:r>
            <w:r w:rsidR="00AF39F5" w:rsidRPr="00AF39F5">
              <w:t>ждения за услуги</w:t>
            </w:r>
            <w:r w:rsidR="00AF39F5">
              <w:t xml:space="preserve"> в % от суммы принятых пл</w:t>
            </w:r>
            <w:r w:rsidR="00AF39F5">
              <w:t>а</w:t>
            </w:r>
            <w:r w:rsidR="00AF39F5">
              <w:t>тежей)</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 xml:space="preserve">критериев определяется в процентах. </w:t>
      </w:r>
      <w:r w:rsidRPr="00A4788C">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7C47A0" w:rsidRPr="00A4788C" w:rsidRDefault="007C47A0" w:rsidP="007C47A0">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7C47A0" w:rsidRPr="00A4788C" w:rsidRDefault="007C47A0" w:rsidP="007C47A0">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8957940" r:id="rId9"/>
        </w:object>
      </w:r>
      <w:r w:rsidRPr="00A4788C">
        <w:t>,</w:t>
      </w:r>
    </w:p>
    <w:p w:rsidR="007C47A0" w:rsidRPr="00A4788C" w:rsidRDefault="007C47A0" w:rsidP="007C47A0">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7C47A0" w:rsidRPr="00A4788C" w:rsidRDefault="007C47A0" w:rsidP="007C47A0">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7C47A0" w:rsidRPr="00A4788C" w:rsidRDefault="007C47A0" w:rsidP="007C47A0">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7C47A0" w:rsidRPr="00A4788C" w:rsidRDefault="007C47A0" w:rsidP="007C47A0">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7C47A0" w:rsidRPr="00A4788C" w:rsidRDefault="007C47A0" w:rsidP="007C47A0">
      <w:pPr>
        <w:pStyle w:val="ConsPlusNonformat"/>
        <w:widowControl/>
        <w:ind w:left="1134"/>
        <w:jc w:val="both"/>
        <w:rPr>
          <w:rFonts w:ascii="Times New Roman" w:hAnsi="Times New Roman" w:cs="Times New Roman"/>
          <w:sz w:val="24"/>
          <w:szCs w:val="24"/>
        </w:rPr>
      </w:pPr>
    </w:p>
    <w:p w:rsidR="00D15AFC" w:rsidRPr="00A4788C" w:rsidRDefault="007C47A0" w:rsidP="007C47A0">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r w:rsidR="00F3039C" w:rsidRPr="00A4788C">
        <w:t>.</w:t>
      </w: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3DB" w:rsidRDefault="009313DB">
      <w:r>
        <w:separator/>
      </w:r>
    </w:p>
  </w:endnote>
  <w:endnote w:type="continuationSeparator" w:id="1">
    <w:p w:rsidR="009313DB" w:rsidRDefault="009313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3DB" w:rsidRDefault="009313DB">
      <w:r>
        <w:separator/>
      </w:r>
    </w:p>
  </w:footnote>
  <w:footnote w:type="continuationSeparator" w:id="1">
    <w:p w:rsidR="009313DB" w:rsidRDefault="009313DB">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421F5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421F5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7C47A0">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925"/>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2555"/>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245A"/>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1F55"/>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0163"/>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8DC"/>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C47A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13DB"/>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9F5"/>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19D7"/>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506</Words>
  <Characters>2886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2012-04-09T03:45:00Z</cp:lastPrinted>
  <dcterms:created xsi:type="dcterms:W3CDTF">2013-01-14T05:23:00Z</dcterms:created>
  <dcterms:modified xsi:type="dcterms:W3CDTF">2013-12-19T05:32:00Z</dcterms:modified>
</cp:coreProperties>
</file>